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12</w:t>
      </w:r>
    </w:p>
    <w:p>
      <w:r>
        <w:t>Bundesgericht (BGE), 1998-01-16, FR</w:t>
      </w:r>
    </w:p>
    <w:p>
      <w:r>
        <w:rPr>
          <w:b/>
        </w:rPr>
        <w:t xml:space="preserve">Quelle: </w:t>
      </w:r>
      <w:r>
        <w:t>https://mcp.opencaselaw.ch/entscheid/bge_124 V 12</w:t>
      </w:r>
    </w:p>
    <w:p>
      <w:r>
        <w:t>FR: ATF 124 V 12</w:t>
      </w:r>
    </w:p>
    <w:p>
      <w:r>
        <w:t>IT: DTF 124 V 12</w:t>
      </w:r>
    </w:p>
    <w:p>
      <w:pPr>
        <w:pStyle w:val="Heading2"/>
      </w:pPr>
      <w:r>
        <w:t>Regeste</w:t>
      </w:r>
    </w:p>
    <w:p>
      <w:r>
        <w:t>Regeste Art. 21 Abs. 3 und 4 IVG; Art. 14 IVV; Art. 7 Abs. 3 HVI: Kostenübernahme für Betrieb und Unterhalt von Hörgeräten durch die Invalidenversicherung. - Art. 7 Abs. 3 HVI (in der seit 1. Januar 1997 geltenden Fassung), welcher im letzten Satz vorsieht, dass die Invalidenversicherung die Kosten für Betrieb und Unterhalt von Hörgeräten nicht übernimmt, hält sich insofern in dem durch Art. 21 IVG bestimmten gesetzlichen Rahmen. - Hingegen stellt das Fehlen der Übernahme von Betriebs- und Unterhaltskosten von Hörgeräten angesichts der Tatsache, dass die Invalidenversicherung solche Kosten für die andern Hilfsmittel übernimmt, eine mit ernsthaften und sachlichen Gründen nicht zu rechtfertigende Ungleichbehandlung dar.</w:t>
      </w:r>
    </w:p>
    <w:p>
      <w:pPr>
        <w:pStyle w:val="Heading2"/>
      </w:pPr>
      <w:r>
        <w:t>Erwägungen</w:t>
      </w:r>
    </w:p>
    <w:p>
      <w:r>
        <w:rPr>
          <w:b/>
        </w:rPr>
        <w:t>E. 1</w:t>
      </w:r>
    </w:p>
    <w:p>
      <w:r>
        <w:t>Aux termes de l' art. 21 al. 1 LAI , l'assuré a droit, d'après une liste que dressera le Conseil fédéral, aux moyens auxiliaires dont il a besoin pour exercer une activité lucrative ou accomplir ses travaux habituels, pour étudier ou apprendre un métier ou à des fins d'accoutumance fonctionnelle. L'al.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 l' art. 14 RAI , le Conseil fédéral a délégué au Département fédéral de l'intérieur la compétence de dresser la liste des moyens auxiliaires et d'édicter des prescriptions complémentaires au sens de l' art. 21 al. 4 LAI . Ce département a édicté le 29 novembre 1976 l'ordonnance concernant la remise des moyens auxiliaires par l'assurance-invalidité (OMAI) avec, en annexe, la liste des moyens auxiliaires. Celle-ci est exhaustive dans la mesure où elle énumère les catégories de moyens auxiliaires entrant en ligne de compte. La question de la réparation et de l'entretien des moyens auxiliaires est traitée à l' art. 7 OMAI . Selon l'al. 2 de cette disposition, les frais de réparation, d'adaptation ou de remplacement partiel nécessaires sont assumés par l'assurance, à défaut de tiers responsable. Le montant de cette prise en charge est cependant limité dans le cas des véhicules à moteur. Pour les frais d'entretien et d'utilisation des moyens auxiliaires, l'assurance accorde une contribution annuelle. Celle-ci est au maximum de 485 francs (ch. 6.3 annexe 1 OMAI). Les frais d'entretien et d'utilisation d'appareils acoustiques et de véhicules à moteur ne sont pas pris en charge par l'assurance ( art. 7 al. 3 OMAI ). Dans sa teneur initiale, l' art. 7 al. 3 OMAI prévoyait que les frais d'entretien de moyens auxiliaires, en particulier de véhicules à moteur, de fauteuils roulants à moteur et d'appareils acoustiques n'étaient pas pris en charge par l'assurance-invalidité, sauf dans les cas pénibles. Par suite d'une modification de la disposition réglementaire, intervenue le 9 octobre 1992, l'assurance-invalidité a alloué une contribution annuelle aux frais d'entretien et d'utilisation des moyens auxiliaires, contribution qui pouvait aller jusqu'à la moitié du montant minimal de la rente ordinaire simple de vieillesse. Avec la nouvelle modification du 19 décembre 1996, entrée en vigueur le 1er janvier 1997, les frais d'entretien et d'utilisation des appareils acoustiques ne sont plus pris en charge par BGE 124 V 12 S. 15 l'assurance-invalidité, comme c'était déjà le cas depuis 1993 de ceux relatifs aux véhicules à moteur.</w:t>
      </w:r>
    </w:p>
    <w:p>
      <w:r>
        <w:rPr>
          <w:b/>
        </w:rPr>
        <w:t>E. 2</w:t>
      </w:r>
    </w:p>
    <w:p>
      <w:r>
        <w:t>La recourante fait valoir que la disposition de l' art. 7 al. 3 OMAI , dans sa teneur en vigueur au 1er janvier 1997, n'est pas conforme à la loi et viole le principe de l'égalité de traitement. a)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123 II 44 consid. 2b, ATF 122 V 93 consid. 5a/bb, 118 consid. 3a/bb, 303 consid. 4a, 311 consid. 5c/aa, 408 consid. 3a, ATF 120 V 49 consid. 3a, 457 consid. 2b et les références). Selon la jurisprudence constante, une norme générale et abstraite viole le principe de l'égalité de traitement consacré à l' art. 4 al. 1 Cst.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 ATF 123 I 7 consid. 6a, 23 consid. 3b et 141 consid. 10b, ATF 123 II 11 consid. 3a et 26 consid. 6a, ATF 122 I 25 consid. 2b/cc, 67 consid. 3a, 313 consid. 6a et 349 consid. 4b, ATF 121 I 104 consid. 4a et 134 consid. 3d). En d'autres termes, le droit à l'égalité de traitement postule que les situations de fait semblables soient assujetties à des règles de droit semblables, et les situations de fait dissemblables à des règles de droit dissemblables (GRISEL, Traité de droit administratif, p. 359). b) L'ordonnance incriminée a pour base légale l' art. 21 LAI qui postule simplement le droit à la remise de moyens auxiliaires aux assurés invalides qui en remplissent les conditions. Dans la mesure où l'OMAI règle les BGE 124 V 12 S. 16 questions de détail relatives à la remise de ces moyens, elle entre, d'une manière générale, dans le cadre de la délégation législative donnée au Conseil fédéral ( art. 21 al. 4 LAI ). Corollaire de la remise, la réparation des moyens auxiliaires, prise en charge par l'assurance-invalidité ( art. 7 al. 2 OMAI ), en est le complément nécessaire, la remise de moyens auxiliaires pouvant et devant être comprise comme celle de moyens effectivement aptes à procurer l'aide envisagée. A cet égard, on peut observer que l'assurance-invalidité a pour obligation d'assumer les frais de réparation de tous les moyens auxiliaires quels qu'ils soient, pour autant qu'ils figurent sur la liste annexée à l'OMAI. Seule exception, la prise en charge limitée des frais de réparation des véhicules à moteur demeure manifestement dans le cadre de la loi, l'usage privé ou à d'autres fins que celles visées à l' art. 21 LAI ne pouvant être mis à la charge de l'assurance ( ATF 109 V 22 consid. 4b; MEYER-BLASER, Bundesgesetz über die Invalidenversicherung (IVG), Zürich 1997, collection "Rechtsprechung des Bundesgerichts zum Sozialversicherungsrecht", ad art. 21 LAI , ch. 3, p. 165). Par une interprétation relativement large ou généreuse de la délégation législative, le Conseil fédéral a ordonné la prise en charge des frais d'entretien et d'utilisation des moyens auxiliaires ( art. 7 al. 3 OMAI première phrase). Mais dans la mesure où, avec la remise des moyens auxiliaires et la prise en charge des frais de réparation, il avait pleinement rempli les buts assignés par le législateur, ni cette prise en charge ni, dans le cas contraire, l'absence de prise en charge n'apparaissent comme sortant du cadre législatif. Dès lors et dans la mesure où le recourant se plaint d'une violation du principe de la légalité, son argumentation doit être rejetée. c) Toute autre est la question de l'égalité de traitement dont l'examen ne peut se limiter, comme l'ont fait les juges cantonaux, à ne considérer que l'égalité de traitement entre sourds ou malentendants, cette exigence étant au demeurant manifestement réalisée. Jusqu'en 1993, la question des frais d'entretien et d'utilisation recevait une réponse identique pour tous les moyens auxiliaires, quel que soit leur genre et quelle que soit la nature de l'invalidité. Dès cette date, ont été exclus de la prise en charge les frais d'entretien des véhicules automobiles, puis, dès le 1er janvier 1997, ceux liés à l'utilisation des appareils acoustiques. On doit ainsi constater que cette disposition réglementaire consacre, dans son résultat, une inégalité de traitement entre invalides bénéficiant de moyens auxiliaires suivant le genre de moyens nécessités par leur état. Cette constatation n'entraîne cependant BGE 124 V 12 S. 17 pas à elle seule la conclusion que la disposition de l'ordonnance serait contraire à la Constitution. Il reste à examiner s'il existe des motifs sérieux et objectifs qui justifient cette différence de traitement. Dans le cadre de l'utilisation de véhicules à moteur, cette différence de traitement est incontestablement justifiée par l'usage possible pour des buts étrangers à ceux poursuivis par l'assurance-invalidité. Pour les appareils acoustiques, celle-ci serait notamment justifiée, selon l'OFAS, par un travail administratif disproportionné par rapport aux montants en jeu. Les tâches de collecte, de contrôle, de paiement de ces frais et d'archivage de ces nombreuses pièces occasionneraient des dépenses administratives sans relation avec les frais réellement encourus pour l'utilisation d'un appareil acoustique, frais qui sont de l'ordre de 120 francs par année (essentiellement l'achat de batteries ou de piles). Ces motifs d'ordre administratif sont insuffisants pour justifier la différence de traitement, entre invalides, pour la prise en charge des frais d'utilisation de leurs moyens auxiliaires nécessaires. Il n'apparaît en effet nullement impossible d'imaginer la mise sur pied d'un système - au besoin sur la base d'un forfait - qui n'entraîne pas une activité administrative disproportionnée. Seule pourrait dès lors entrer en ligne de compte, comme motif autorisant une différence de traitement, la constatation que les frais annuels d'entretien des appareils acoustiques et ceux des autres moyens auxiliaires présenteraient des différences de coût sensibles, les premiers étant faibles alors que les seconds seraient plus élevés. Supposé en effet cette situation réalisée, un traitement différencié pourrait alors se justifier précisément par la constatation de situations de fait dissemblables. On a déjà vu que le montant forfaitaire maximum de la prise en charge annuelle est de 485 francs (chiffre 6.3 annexe 1 OMAI). Comme il n'existe pas d'indice que ces frais d'entretien dépasseraient en réalité dans tous les cas cette limite - ce qui serait au demeurant peu vraisemblable -, on ne voit pas qu'il existe des raisons de traiter différemment la prise en charge des frais pour les appareils acoustiques et ceux pour d'autres moyens auxiliaires, s'agissant de frais de même importance. La comparaison effectuée par l'OFAS avec la réglementation particulière concernant les véhicules à moteur n'est, dans ces circonstances, d'aucun secours à l'intimée dès lors que, comme on l'a retenu plus haut, les situations de faits diffèrent sensiblement. BGE 124 V 12 S. 18 Parce qu'il introduit une discrimination insoutenable, l' art. 7 al. 3 OMAI dernière phrase, dans sa version en vigueur au 1er janvier 1997, n'est pas compatible avec le principe d'égalité de traitement de l' art. 4 al. 1 Cst. Il en résulte qu'il ne peut dès lors faire obstacle à la prise en charge des frais d'entretien et d'utilisation d'appareils acoustiques par l'assurance-invalidité. Le recours est ainsi bien fondé, de sorte que la communication du 20 juin 1996 continue à déployer ses effets juridiques dans le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